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Shingle Warranty Comparison — Top 10 Brands Exposed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  <w:sz w:val="18"/>
              </w:rPr>
              <w:t>Brand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  <w:t>Full Coverage (Years)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  <w:t>Labor Included?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  <w:t>Transfer Rules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  <w:t>Key Exclusion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  <w:t>Red Flag Quote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GAF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60 days, 1x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Ventilation, hail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“Coverage drops after year 10.”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Owens Corning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60 days, 1x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Ventilation, algae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“Ventilation must meet specs.”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CertainTeed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10 yrs max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Labor after 1 yr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“Labor not included post year 1.”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Malarkey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1x, 15 yrs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High-wind install req.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“Void after 15 yrs if transferred.”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TAMKO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2 yrs max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Acts of God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“Storm damage excluded.”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Atlas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5 yrs max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No algae cover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“Algae is not covered.”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IKO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One-time only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Wind &lt;110mph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“Strict venting required.”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BP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Limited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Improper nailing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“Wrong nail pattern voids.”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PABCO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Limited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Overdriven nails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“Nail damage voids warranty.”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IKO Dynasty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1x only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System-only coverage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“Must use full IKO system.”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